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9A" w:rsidRPr="00E02B96" w:rsidRDefault="006E1B9A" w:rsidP="00E02B96">
      <w:pPr>
        <w:jc w:val="center"/>
        <w:rPr>
          <w:b/>
          <w:sz w:val="28"/>
        </w:rPr>
      </w:pPr>
      <w:r w:rsidRPr="00E02B96">
        <w:rPr>
          <w:b/>
          <w:sz w:val="28"/>
        </w:rPr>
        <w:t>Kompjuterski probir za palijativnu skrb</w:t>
      </w:r>
    </w:p>
    <w:p w:rsidR="006E1B9A" w:rsidRDefault="006E1B9A" w:rsidP="002D7C4A"/>
    <w:p w:rsidR="006E1B9A" w:rsidRPr="002B4B59" w:rsidRDefault="006E1B9A" w:rsidP="002B4B59">
      <w:pPr>
        <w:pStyle w:val="Heading2"/>
      </w:pPr>
    </w:p>
    <w:p w:rsidR="006E1B9A" w:rsidRDefault="006E1B9A" w:rsidP="002D7C4A">
      <w:r>
        <w:t xml:space="preserve">Ovaj popis služi za lakše kompjutersko detektiranje pacijenata kao potencijalnih korisnika palijativne skrbi. </w:t>
      </w:r>
    </w:p>
    <w:p w:rsidR="006E1B9A" w:rsidRDefault="006E1B9A" w:rsidP="00E02B96">
      <w:pPr>
        <w:pStyle w:val="Heading2"/>
      </w:pPr>
      <w:r>
        <w:t>U popis nisu kao filter uvrštene najčešće onkološke dijagnoze (karcinom dojke, maternice, prostate, pluća...) zato što bi takav filter prikupio veoma velik broj pacijenata, među kojima samo rijetki trebaju palijativnu skrb. Potencijalni kandidati za palijativu među onima s najčešćim onkološkim dijagnozama detektiraju se šiframa C78 i C79 (sekundarne zloćudne novotvorine).</w:t>
      </w:r>
    </w:p>
    <w:p w:rsidR="006E1B9A" w:rsidRPr="007A57F5" w:rsidRDefault="006E1B9A" w:rsidP="007A57F5">
      <w:r>
        <w:t>Ovdje nisu prikazane sve šifre za pedijatrijsku populaciju (npr. teške kongenitalne malformacije, nasljedni nelječivi metabolički poremećaji isl.), jer će biti obuhvaćene u posebnoj tablici za pedijatrijsku palijativu.</w:t>
      </w:r>
    </w:p>
    <w:p w:rsidR="006E1B9A" w:rsidRPr="007A57F5" w:rsidRDefault="006E1B9A" w:rsidP="002B4B59">
      <w:pPr>
        <w:jc w:val="left"/>
      </w:pPr>
    </w:p>
    <w:p w:rsidR="006E1B9A" w:rsidRDefault="006E1B9A">
      <w:r>
        <w:br w:type="page"/>
      </w:r>
    </w:p>
    <w:tbl>
      <w:tblPr>
        <w:tblW w:w="10440" w:type="dxa"/>
        <w:tblInd w:w="-612" w:type="dxa"/>
        <w:tblLook w:val="00A0"/>
      </w:tblPr>
      <w:tblGrid>
        <w:gridCol w:w="804"/>
        <w:gridCol w:w="9636"/>
      </w:tblGrid>
      <w:tr w:rsidR="006E1B9A" w:rsidRPr="00E8108A" w:rsidTr="00E8108A">
        <w:trPr>
          <w:trHeight w:val="454"/>
        </w:trPr>
        <w:tc>
          <w:tcPr>
            <w:tcW w:w="10440" w:type="dxa"/>
            <w:gridSpan w:val="2"/>
            <w:tcBorders>
              <w:top w:val="single" w:sz="4" w:space="0" w:color="auto"/>
              <w:left w:val="single" w:sz="4" w:space="0" w:color="auto"/>
              <w:bottom w:val="single" w:sz="4" w:space="0" w:color="auto"/>
              <w:right w:val="single" w:sz="4" w:space="0" w:color="auto"/>
            </w:tcBorders>
            <w:noWrap/>
            <w:vAlign w:val="center"/>
          </w:tcPr>
          <w:p w:rsidR="006E1B9A" w:rsidRPr="00E8108A" w:rsidRDefault="006E1B9A" w:rsidP="002D7C4A">
            <w:pPr>
              <w:jc w:val="left"/>
              <w:rPr>
                <w:b/>
                <w:szCs w:val="22"/>
              </w:rPr>
            </w:pPr>
            <w:r w:rsidRPr="00E8108A">
              <w:rPr>
                <w:b/>
                <w:szCs w:val="22"/>
              </w:rPr>
              <w:t>Najčešće dijagnoze koje uzrokuju potrebu za palijativnom skrbi</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pStyle w:val="Heading2"/>
              <w:jc w:val="left"/>
              <w:rPr>
                <w:szCs w:val="22"/>
              </w:rPr>
            </w:pPr>
            <w:r w:rsidRPr="00E8108A">
              <w:rPr>
                <w:szCs w:val="22"/>
              </w:rPr>
              <w:t xml:space="preserve">B20 </w:t>
            </w:r>
          </w:p>
          <w:p w:rsidR="006E1B9A" w:rsidRPr="00E8108A" w:rsidRDefault="006E1B9A" w:rsidP="00A47237">
            <w:pPr>
              <w:jc w:val="left"/>
              <w:rPr>
                <w:szCs w:val="22"/>
              </w:rPr>
            </w:pP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Bolest uzrokovan humanim imunodeficijenskim virusom (HIV) s posljedičnom infekcijskom i parazitarnom bolešću</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B21</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pStyle w:val="Heading2"/>
              <w:jc w:val="left"/>
              <w:rPr>
                <w:szCs w:val="22"/>
              </w:rPr>
            </w:pPr>
            <w:r w:rsidRPr="00E8108A">
              <w:rPr>
                <w:szCs w:val="22"/>
              </w:rPr>
              <w:t>Bolest izazvana humanim imunodeficijencijskim virusom (HIV) s posljedičnim zloćudnim novotvorinama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B22</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pStyle w:val="Heading2"/>
              <w:jc w:val="left"/>
              <w:rPr>
                <w:szCs w:val="22"/>
              </w:rPr>
            </w:pPr>
            <w:r w:rsidRPr="00E8108A">
              <w:rPr>
                <w:szCs w:val="22"/>
              </w:rPr>
              <w:t>Bolest izazvana humanim imunodeficijencijskim virusom (HIV) s posljedičnim drugim specificiranim bolestima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B23</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pStyle w:val="Heading2"/>
              <w:jc w:val="left"/>
              <w:rPr>
                <w:szCs w:val="22"/>
              </w:rPr>
            </w:pPr>
            <w:r w:rsidRPr="00E8108A">
              <w:rPr>
                <w:szCs w:val="22"/>
              </w:rPr>
              <w:t>Bolest uzrokovana humanim imunodeficijencijskim virusom (HIV) s rezultirajućim drugim stanjima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B24</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pStyle w:val="Heading2"/>
              <w:jc w:val="left"/>
              <w:rPr>
                <w:szCs w:val="22"/>
              </w:rPr>
            </w:pPr>
            <w:r w:rsidRPr="00E8108A">
              <w:rPr>
                <w:szCs w:val="22"/>
              </w:rPr>
              <w:t>Nespecificirana bolest uzrokovana humanim imunodeficijencijskim virusom (HIV)</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C15</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Zloćudna novotvorina jednjaka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C22</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Zloćudna novotvorina jetre i intrahepatičnih žučnih vodova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C25</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Zloćudna novotvorina gušterače</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 xml:space="preserve">C18 </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Zloćudna novotvorina debeloga crijeva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C56</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Zloćudna novotvorina jajnika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C70</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 xml:space="preserve">Zloćudna novotorina moždanih ovojnica (meningi) </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C71</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 xml:space="preserve">Zloćudna novotvorina mozga </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C72</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Zloćudna novotvorina kralježnične moždine i ostalih dijelova središnjega živčanog sustava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C76</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 xml:space="preserve">Zloćudna novotvorina ostalih i nedovoljno definiranih sijela </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C77</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Sekundarne i nespecificirane zloćudne novotvorine limfnih čvorova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C78</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bCs/>
              </w:rPr>
            </w:pPr>
            <w:r w:rsidRPr="00E8108A">
              <w:rPr>
                <w:bCs/>
              </w:rPr>
              <w:t>Sekundarna zloćudna novotvorina dišnih i probavnih organa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C79</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 xml:space="preserve">Sekundarna zloćudna novotvorina ostalih sijela </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C80</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 xml:space="preserve">Zloćudna novotvorina bez specificiranog sijela </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t>C92.0</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t>Akutna mijeloična leukemija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E75</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Poremećaji metabolizma sfingolipida i ostali poremećaji nakupljanja lipida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E76</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Poremećaji metabolizma glikozaminoglikana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E77</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Poremećji metabolizma glikoproteina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 xml:space="preserve">E79.1 </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Lesch-Nyhanov sindrom</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 xml:space="preserve">E80 </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t>Poremaćaj eritropoezna porfirija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rPr>
                <w:bCs/>
              </w:rPr>
              <w:t>E83</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rPr>
                <w:bCs/>
              </w:rPr>
              <w:t>Poremećaji metabolizma minerala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bCs/>
              </w:rPr>
            </w:pPr>
            <w:r w:rsidRPr="00E8108A">
              <w:rPr>
                <w:bCs/>
              </w:rPr>
              <w:t xml:space="preserve">E84 </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bCs/>
              </w:rPr>
            </w:pPr>
            <w:r w:rsidRPr="00E8108A">
              <w:rPr>
                <w:bCs/>
              </w:rPr>
              <w:t>Cistična fibroza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F00</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Demencija u Alzheimerovoj bolesti</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F01</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 xml:space="preserve">Vaskularna demencija </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F02</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Demencija u drugim bolestima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F03</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Demencije nespecifične</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F73</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Teška mentalna retardacija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G10</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Huntingtonova bolest</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G11</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Nasljedna ataksija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G12</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Spinalna muskularna atrofija i sindromi u vezi s njom</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G13</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Sistemne atrofije koje prije svega zahvaćaju središnji živčani sustav u bolesti svrstanih drugamo</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G82</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Paraplegija i tetraplegija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 xml:space="preserve"> I50</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 xml:space="preserve">Insuficijencija srca </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J44</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Druga kronična opstruktivna plućna bolest</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t>K70.3</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r w:rsidRPr="00E8108A">
              <w:t>Alkoholna ciroza jetre</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t>K70.4</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r w:rsidRPr="00E8108A">
              <w:t>Alkoholno zatajenje jetre</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t>K72</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r w:rsidRPr="00E8108A">
              <w:t>Zatajenje jetre, nesvrstano drugamo</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t>K71.1</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r w:rsidRPr="00E8108A">
              <w:t>Toksična bolest jetre s nekrozom jetre</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t>K72</w:t>
            </w:r>
            <w:r w:rsidRPr="00E8108A">
              <w:rPr>
                <w:szCs w:val="22"/>
              </w:rPr>
              <w:t xml:space="preserve"> </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r w:rsidRPr="00E8108A">
              <w:t>Zatajenje jetre, nesvrstano drugamo</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rPr>
                <w:szCs w:val="22"/>
              </w:rPr>
              <w:t>N18</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r w:rsidRPr="00E8108A">
              <w:rPr>
                <w:szCs w:val="22"/>
              </w:rPr>
              <w:t>Kronično bubrežno zatajenje</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pPr>
            <w:r w:rsidRPr="00E8108A">
              <w:rPr>
                <w:szCs w:val="22"/>
              </w:rPr>
              <w:t>N19</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r w:rsidRPr="00E8108A">
              <w:rPr>
                <w:szCs w:val="22"/>
              </w:rPr>
              <w:t>Nespecificirano bubrežno zatajenje</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R40.2</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rPr>
                <w:szCs w:val="22"/>
              </w:rPr>
            </w:pPr>
            <w:r w:rsidRPr="00E8108A">
              <w:rPr>
                <w:szCs w:val="22"/>
              </w:rPr>
              <w:t>Koma, nespecificirana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334D2F">
            <w:pPr>
              <w:jc w:val="left"/>
              <w:rPr>
                <w:szCs w:val="22"/>
              </w:rPr>
            </w:pPr>
            <w:r w:rsidRPr="00E8108A">
              <w:rPr>
                <w:bCs/>
              </w:rPr>
              <w:t xml:space="preserve">Z43 </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rPr>
                <w:szCs w:val="22"/>
              </w:rPr>
            </w:pPr>
            <w:r w:rsidRPr="00E8108A">
              <w:rPr>
                <w:bCs/>
              </w:rPr>
              <w:t>Nadgledanje i zbrinjavanje umjetnih otvora</w:t>
            </w:r>
          </w:p>
        </w:tc>
      </w:tr>
      <w:tr w:rsidR="006E1B9A" w:rsidRPr="00E8108A" w:rsidTr="00E8108A">
        <w:trPr>
          <w:trHeight w:val="255"/>
        </w:trPr>
        <w:tc>
          <w:tcPr>
            <w:tcW w:w="804"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jc w:val="left"/>
              <w:rPr>
                <w:szCs w:val="22"/>
              </w:rPr>
            </w:pPr>
            <w:r w:rsidRPr="00E8108A">
              <w:rPr>
                <w:szCs w:val="22"/>
              </w:rPr>
              <w:t>Z51.5</w:t>
            </w:r>
          </w:p>
        </w:tc>
        <w:tc>
          <w:tcPr>
            <w:tcW w:w="9636" w:type="dxa"/>
            <w:tcBorders>
              <w:top w:val="single" w:sz="4" w:space="0" w:color="auto"/>
              <w:left w:val="single" w:sz="4" w:space="0" w:color="auto"/>
              <w:bottom w:val="single" w:sz="4" w:space="0" w:color="auto"/>
              <w:right w:val="single" w:sz="4" w:space="0" w:color="auto"/>
            </w:tcBorders>
            <w:noWrap/>
          </w:tcPr>
          <w:p w:rsidR="006E1B9A" w:rsidRPr="00E8108A" w:rsidRDefault="006E1B9A" w:rsidP="00A47237">
            <w:pPr>
              <w:rPr>
                <w:szCs w:val="22"/>
              </w:rPr>
            </w:pPr>
            <w:r w:rsidRPr="00E8108A">
              <w:rPr>
                <w:szCs w:val="22"/>
              </w:rPr>
              <w:t>Palijativna skrb</w:t>
            </w:r>
          </w:p>
        </w:tc>
      </w:tr>
    </w:tbl>
    <w:p w:rsidR="006E1B9A" w:rsidRPr="002B4B59" w:rsidRDefault="006E1B9A" w:rsidP="002B4B59">
      <w:pPr>
        <w:pStyle w:val="Heading2"/>
        <w:rPr>
          <w:sz w:val="20"/>
        </w:rPr>
      </w:pPr>
    </w:p>
    <w:sectPr w:rsidR="006E1B9A" w:rsidRPr="002B4B59" w:rsidSect="002B4B59">
      <w:pgSz w:w="11906" w:h="16838"/>
      <w:pgMar w:top="1418" w:right="1418"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5E4"/>
    <w:rsid w:val="0001177E"/>
    <w:rsid w:val="00020AE1"/>
    <w:rsid w:val="000259FF"/>
    <w:rsid w:val="0008679C"/>
    <w:rsid w:val="000A2298"/>
    <w:rsid w:val="000A37FB"/>
    <w:rsid w:val="000E15E4"/>
    <w:rsid w:val="000F5504"/>
    <w:rsid w:val="00111622"/>
    <w:rsid w:val="001136E9"/>
    <w:rsid w:val="00132B10"/>
    <w:rsid w:val="00197FA8"/>
    <w:rsid w:val="001A0A77"/>
    <w:rsid w:val="001E5FFA"/>
    <w:rsid w:val="001E7FBB"/>
    <w:rsid w:val="00210798"/>
    <w:rsid w:val="00295FBF"/>
    <w:rsid w:val="002A1B87"/>
    <w:rsid w:val="002A3394"/>
    <w:rsid w:val="002B4B59"/>
    <w:rsid w:val="002D7C4A"/>
    <w:rsid w:val="0031021B"/>
    <w:rsid w:val="00317C88"/>
    <w:rsid w:val="00327D45"/>
    <w:rsid w:val="00334D2F"/>
    <w:rsid w:val="003A56EC"/>
    <w:rsid w:val="00465C30"/>
    <w:rsid w:val="0047161C"/>
    <w:rsid w:val="004927F4"/>
    <w:rsid w:val="004D6CF5"/>
    <w:rsid w:val="00522BD7"/>
    <w:rsid w:val="00544A20"/>
    <w:rsid w:val="005524BF"/>
    <w:rsid w:val="00560066"/>
    <w:rsid w:val="0058684A"/>
    <w:rsid w:val="005A3C76"/>
    <w:rsid w:val="00602B87"/>
    <w:rsid w:val="00622A4E"/>
    <w:rsid w:val="00651526"/>
    <w:rsid w:val="006561A9"/>
    <w:rsid w:val="00683C01"/>
    <w:rsid w:val="00693D36"/>
    <w:rsid w:val="006A16BF"/>
    <w:rsid w:val="006E1B9A"/>
    <w:rsid w:val="006F34D5"/>
    <w:rsid w:val="0072161F"/>
    <w:rsid w:val="007448A4"/>
    <w:rsid w:val="0074565D"/>
    <w:rsid w:val="007A57F5"/>
    <w:rsid w:val="007B21D3"/>
    <w:rsid w:val="007C6AD8"/>
    <w:rsid w:val="007E4FF2"/>
    <w:rsid w:val="007F3F47"/>
    <w:rsid w:val="00813F92"/>
    <w:rsid w:val="00830943"/>
    <w:rsid w:val="00830CE2"/>
    <w:rsid w:val="00860037"/>
    <w:rsid w:val="008607ED"/>
    <w:rsid w:val="0087139B"/>
    <w:rsid w:val="008C1A34"/>
    <w:rsid w:val="008D4BCA"/>
    <w:rsid w:val="008E5D7C"/>
    <w:rsid w:val="00922CA2"/>
    <w:rsid w:val="00930968"/>
    <w:rsid w:val="009755D8"/>
    <w:rsid w:val="009B29B5"/>
    <w:rsid w:val="009D4875"/>
    <w:rsid w:val="009E2543"/>
    <w:rsid w:val="009E3A1F"/>
    <w:rsid w:val="00A44BD0"/>
    <w:rsid w:val="00A47237"/>
    <w:rsid w:val="00A628C3"/>
    <w:rsid w:val="00A81E7B"/>
    <w:rsid w:val="00A906C4"/>
    <w:rsid w:val="00AE07AB"/>
    <w:rsid w:val="00B3325A"/>
    <w:rsid w:val="00B44BC7"/>
    <w:rsid w:val="00B9412F"/>
    <w:rsid w:val="00BD75C9"/>
    <w:rsid w:val="00BF3366"/>
    <w:rsid w:val="00C0067E"/>
    <w:rsid w:val="00C50F01"/>
    <w:rsid w:val="00C74B8D"/>
    <w:rsid w:val="00CC22B7"/>
    <w:rsid w:val="00D21EE8"/>
    <w:rsid w:val="00D230B3"/>
    <w:rsid w:val="00D5424E"/>
    <w:rsid w:val="00D63F9F"/>
    <w:rsid w:val="00DB5F2F"/>
    <w:rsid w:val="00DC7BCB"/>
    <w:rsid w:val="00E02B96"/>
    <w:rsid w:val="00E1565A"/>
    <w:rsid w:val="00E57CB1"/>
    <w:rsid w:val="00E768CE"/>
    <w:rsid w:val="00E8108A"/>
    <w:rsid w:val="00E944A8"/>
    <w:rsid w:val="00EA4121"/>
    <w:rsid w:val="00F12534"/>
    <w:rsid w:val="00F4079D"/>
    <w:rsid w:val="00F43B2D"/>
    <w:rsid w:val="00F515E8"/>
    <w:rsid w:val="00F73F8E"/>
    <w:rsid w:val="00F855FD"/>
    <w:rsid w:val="00F95F23"/>
    <w:rsid w:val="00FA3EC0"/>
    <w:rsid w:val="00FB3B1A"/>
    <w:rsid w:val="00FE7FB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A44BD0"/>
    <w:pPr>
      <w:jc w:val="both"/>
    </w:pPr>
    <w:rPr>
      <w:rFonts w:cs="Arial"/>
      <w:szCs w:val="28"/>
      <w:lang w:val="hr-HR" w:eastAsia="hr-HR"/>
    </w:rPr>
  </w:style>
  <w:style w:type="paragraph" w:styleId="Heading2">
    <w:name w:val="heading 2"/>
    <w:basedOn w:val="Normal"/>
    <w:next w:val="Normal"/>
    <w:link w:val="Heading2Char"/>
    <w:uiPriority w:val="99"/>
    <w:qFormat/>
    <w:rsid w:val="00F855FD"/>
    <w:pPr>
      <w:keepNext/>
      <w:outlineLvl w:val="1"/>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855FD"/>
    <w:rPr>
      <w:rFonts w:cs="Times New Roman"/>
      <w:bCs/>
      <w:iCs/>
      <w:sz w:val="28"/>
      <w:szCs w:val="28"/>
    </w:rPr>
  </w:style>
  <w:style w:type="character" w:styleId="Hyperlink">
    <w:name w:val="Hyperlink"/>
    <w:basedOn w:val="DefaultParagraphFont"/>
    <w:uiPriority w:val="99"/>
    <w:rsid w:val="00A44BD0"/>
    <w:rPr>
      <w:rFonts w:cs="Times New Roman"/>
      <w:color w:val="0000FF"/>
      <w:u w:val="single"/>
    </w:rPr>
  </w:style>
  <w:style w:type="paragraph" w:styleId="ListParagraph">
    <w:name w:val="List Paragraph"/>
    <w:basedOn w:val="Normal"/>
    <w:uiPriority w:val="99"/>
    <w:qFormat/>
    <w:rsid w:val="00A44BD0"/>
    <w:pPr>
      <w:ind w:left="708"/>
    </w:pPr>
  </w:style>
  <w:style w:type="table" w:customStyle="1" w:styleId="ABCpalijative">
    <w:name w:val="ABC palijative"/>
    <w:uiPriority w:val="99"/>
    <w:rsid w:val="007C6AD8"/>
    <w:rPr>
      <w:szCs w:val="28"/>
    </w:rPr>
    <w:tblPr>
      <w:tblInd w:w="0" w:type="dxa"/>
      <w:tblBorders>
        <w:top w:val="single" w:sz="12" w:space="0" w:color="auto"/>
        <w:bottom w:val="single" w:sz="4" w:space="0" w:color="auto"/>
      </w:tblBorders>
      <w:tblCellMar>
        <w:top w:w="0" w:type="dxa"/>
        <w:left w:w="108" w:type="dxa"/>
        <w:bottom w:w="0" w:type="dxa"/>
        <w:right w:w="108" w:type="dxa"/>
      </w:tblCellMar>
    </w:tblPr>
  </w:style>
  <w:style w:type="paragraph" w:styleId="BodyText">
    <w:name w:val="Body Text"/>
    <w:basedOn w:val="Normal"/>
    <w:link w:val="BodyTextChar"/>
    <w:autoRedefine/>
    <w:uiPriority w:val="99"/>
    <w:rsid w:val="00A44BD0"/>
    <w:rPr>
      <w:rFonts w:cs="Mangal"/>
      <w:b/>
      <w:sz w:val="20"/>
      <w:szCs w:val="22"/>
    </w:rPr>
  </w:style>
  <w:style w:type="character" w:customStyle="1" w:styleId="BodyTextChar">
    <w:name w:val="Body Text Char"/>
    <w:basedOn w:val="DefaultParagraphFont"/>
    <w:link w:val="BodyText"/>
    <w:uiPriority w:val="99"/>
    <w:locked/>
    <w:rsid w:val="00A44BD0"/>
    <w:rPr>
      <w:rFonts w:ascii="Arial" w:hAnsi="Arial" w:cs="Mangal"/>
      <w:b/>
      <w:sz w:val="22"/>
      <w:szCs w:val="22"/>
    </w:rPr>
  </w:style>
</w:styles>
</file>

<file path=word/webSettings.xml><?xml version="1.0" encoding="utf-8"?>
<w:webSettings xmlns:r="http://schemas.openxmlformats.org/officeDocument/2006/relationships" xmlns:w="http://schemas.openxmlformats.org/wordprocessingml/2006/main">
  <w:divs>
    <w:div w:id="1046835787">
      <w:marLeft w:val="0"/>
      <w:marRight w:val="0"/>
      <w:marTop w:val="0"/>
      <w:marBottom w:val="0"/>
      <w:divBdr>
        <w:top w:val="none" w:sz="0" w:space="0" w:color="auto"/>
        <w:left w:val="none" w:sz="0" w:space="0" w:color="auto"/>
        <w:bottom w:val="none" w:sz="0" w:space="0" w:color="auto"/>
        <w:right w:val="none" w:sz="0" w:space="0" w:color="auto"/>
      </w:divBdr>
    </w:div>
    <w:div w:id="1046835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2</Pages>
  <Words>479</Words>
  <Characters>2731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Mazohinda</dc:creator>
  <cp:keywords/>
  <dc:description/>
  <cp:lastModifiedBy>kloncarek</cp:lastModifiedBy>
  <cp:revision>50</cp:revision>
  <dcterms:created xsi:type="dcterms:W3CDTF">2013-10-26T18:12:00Z</dcterms:created>
  <dcterms:modified xsi:type="dcterms:W3CDTF">2013-11-14T11:10:00Z</dcterms:modified>
</cp:coreProperties>
</file>